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393897" w14:textId="1D3198D2" w:rsidR="00B8582C" w:rsidRPr="00B8582C" w:rsidRDefault="0024484D" w:rsidP="00B8582C">
      <w:pPr>
        <w:pStyle w:val="Heading3"/>
        <w:spacing w:before="0" w:after="0" w:line="240" w:lineRule="auto"/>
        <w:rPr>
          <w:b/>
          <w:bCs/>
          <w:sz w:val="32"/>
          <w:szCs w:val="32"/>
        </w:rPr>
      </w:pPr>
      <w:r>
        <w:rPr>
          <w:b/>
          <w:bCs/>
          <w:sz w:val="32"/>
          <w:szCs w:val="32"/>
        </w:rPr>
        <w:t>Maximize contributions</w:t>
      </w:r>
    </w:p>
    <w:p w14:paraId="64D62E76" w14:textId="77777777" w:rsidR="00B8582C" w:rsidRDefault="00B8582C" w:rsidP="00B8582C">
      <w:pPr>
        <w:pStyle w:val="Heading3"/>
        <w:spacing w:before="0" w:after="0" w:line="240" w:lineRule="auto"/>
      </w:pPr>
    </w:p>
    <w:p w14:paraId="57BB8A46" w14:textId="11F7A734" w:rsidR="00B8582C" w:rsidRPr="00B8582C" w:rsidRDefault="00B8582C" w:rsidP="00B8582C">
      <w:pPr>
        <w:pStyle w:val="Heading3"/>
        <w:spacing w:before="0" w:after="0" w:line="240" w:lineRule="auto"/>
      </w:pPr>
      <w:r w:rsidRPr="00B8582C">
        <w:t>Newsletter</w:t>
      </w:r>
    </w:p>
    <w:p w14:paraId="687BA48B" w14:textId="77777777" w:rsidR="0024484D" w:rsidRPr="0024484D" w:rsidRDefault="0024484D" w:rsidP="0024484D">
      <w:pPr>
        <w:rPr>
          <w:rFonts w:ascii="Arial" w:hAnsi="Arial" w:cs="Arial"/>
          <w:i/>
          <w:color w:val="FF0000"/>
          <w:sz w:val="22"/>
          <w:szCs w:val="22"/>
        </w:rPr>
      </w:pPr>
      <w:r w:rsidRPr="0024484D">
        <w:rPr>
          <w:rFonts w:ascii="Arial" w:hAnsi="Arial" w:cs="Arial"/>
          <w:i/>
          <w:color w:val="FF0000"/>
          <w:sz w:val="22"/>
          <w:szCs w:val="22"/>
        </w:rPr>
        <w:t>Potential titles:</w:t>
      </w:r>
    </w:p>
    <w:p w14:paraId="6A6445EE" w14:textId="77777777" w:rsidR="0024484D" w:rsidRPr="0024484D" w:rsidRDefault="0024484D" w:rsidP="0024484D">
      <w:pPr>
        <w:rPr>
          <w:rFonts w:ascii="Arial" w:hAnsi="Arial" w:cs="Arial"/>
          <w:sz w:val="22"/>
          <w:szCs w:val="22"/>
        </w:rPr>
      </w:pPr>
      <w:r w:rsidRPr="0024484D">
        <w:rPr>
          <w:rFonts w:ascii="Arial" w:hAnsi="Arial" w:cs="Arial"/>
          <w:b/>
          <w:bCs/>
          <w:sz w:val="22"/>
          <w:szCs w:val="22"/>
        </w:rPr>
        <w:t>4 ways to maximize your HSA</w:t>
      </w:r>
    </w:p>
    <w:p w14:paraId="23DBA8B5" w14:textId="77777777" w:rsidR="0024484D" w:rsidRPr="0024484D" w:rsidRDefault="0024484D" w:rsidP="0024484D">
      <w:pPr>
        <w:rPr>
          <w:rFonts w:ascii="Arial" w:hAnsi="Arial" w:cs="Arial"/>
          <w:b/>
          <w:bCs/>
          <w:sz w:val="22"/>
          <w:szCs w:val="22"/>
        </w:rPr>
      </w:pPr>
      <w:r w:rsidRPr="0024484D">
        <w:rPr>
          <w:rFonts w:ascii="Arial" w:hAnsi="Arial" w:cs="Arial"/>
          <w:b/>
          <w:bCs/>
          <w:sz w:val="22"/>
          <w:szCs w:val="22"/>
        </w:rPr>
        <w:t xml:space="preserve">Use your HSA to spend and save smarter </w:t>
      </w:r>
    </w:p>
    <w:p w14:paraId="3CE3FB26" w14:textId="77777777" w:rsidR="0024484D" w:rsidRPr="0024484D" w:rsidRDefault="0024484D" w:rsidP="0024484D">
      <w:pPr>
        <w:rPr>
          <w:rFonts w:ascii="Arial" w:hAnsi="Arial" w:cs="Arial"/>
          <w:sz w:val="22"/>
          <w:szCs w:val="22"/>
        </w:rPr>
      </w:pPr>
      <w:r w:rsidRPr="0024484D">
        <w:rPr>
          <w:rFonts w:ascii="Arial" w:hAnsi="Arial" w:cs="Arial"/>
          <w:sz w:val="22"/>
          <w:szCs w:val="22"/>
        </w:rPr>
        <w:t xml:space="preserve"> </w:t>
      </w:r>
    </w:p>
    <w:p w14:paraId="1126C104" w14:textId="77777777" w:rsidR="0024484D" w:rsidRPr="0024484D" w:rsidRDefault="0024484D" w:rsidP="0024484D">
      <w:pPr>
        <w:pStyle w:val="ListParagraph"/>
        <w:numPr>
          <w:ilvl w:val="0"/>
          <w:numId w:val="1"/>
        </w:numPr>
        <w:rPr>
          <w:b/>
          <w:sz w:val="28"/>
          <w:szCs w:val="28"/>
          <w:vertAlign w:val="superscript"/>
        </w:rPr>
      </w:pPr>
      <w:r w:rsidRPr="0024484D">
        <w:rPr>
          <w:b/>
          <w:sz w:val="28"/>
          <w:szCs w:val="28"/>
        </w:rPr>
        <w:t>Reduce your tax bill</w:t>
      </w:r>
    </w:p>
    <w:p w14:paraId="16C772A0" w14:textId="77777777" w:rsidR="0024484D" w:rsidRPr="0024484D" w:rsidRDefault="0024484D" w:rsidP="0024484D">
      <w:pPr>
        <w:rPr>
          <w:rFonts w:ascii="Arial" w:hAnsi="Arial" w:cs="Arial"/>
          <w:b/>
          <w:sz w:val="22"/>
          <w:szCs w:val="22"/>
        </w:rPr>
      </w:pPr>
    </w:p>
    <w:p w14:paraId="7C851221" w14:textId="77777777" w:rsidR="0024484D" w:rsidRPr="0024484D" w:rsidRDefault="0024484D" w:rsidP="0024484D">
      <w:pPr>
        <w:ind w:left="720"/>
        <w:rPr>
          <w:rFonts w:ascii="Arial" w:hAnsi="Arial" w:cs="Arial"/>
          <w:bCs/>
          <w:sz w:val="22"/>
          <w:szCs w:val="22"/>
        </w:rPr>
      </w:pPr>
      <w:r w:rsidRPr="0024484D">
        <w:rPr>
          <w:rFonts w:ascii="Arial" w:hAnsi="Arial" w:cs="Arial"/>
          <w:bCs/>
          <w:sz w:val="22"/>
          <w:szCs w:val="22"/>
        </w:rPr>
        <w:t>You can make pre-tax payroll contributions to your HSA just like you can with a 401(k). Consider adjusting your payroll contributions today and save even more on taxes.</w:t>
      </w:r>
      <w:r w:rsidRPr="0024484D">
        <w:rPr>
          <w:rFonts w:ascii="Arial" w:hAnsi="Arial" w:cs="Arial"/>
          <w:bCs/>
          <w:sz w:val="22"/>
          <w:szCs w:val="22"/>
          <w:vertAlign w:val="superscript"/>
        </w:rPr>
        <w:t>1</w:t>
      </w:r>
      <w:r w:rsidRPr="0024484D">
        <w:rPr>
          <w:rFonts w:ascii="Arial" w:hAnsi="Arial" w:cs="Arial"/>
          <w:bCs/>
          <w:sz w:val="22"/>
          <w:szCs w:val="22"/>
        </w:rPr>
        <w:t xml:space="preserve"> </w:t>
      </w:r>
    </w:p>
    <w:p w14:paraId="18156A10" w14:textId="77777777" w:rsidR="0024484D" w:rsidRPr="0024484D" w:rsidRDefault="0024484D" w:rsidP="0024484D">
      <w:pPr>
        <w:rPr>
          <w:rFonts w:ascii="Arial" w:hAnsi="Arial" w:cs="Arial"/>
          <w:bCs/>
          <w:sz w:val="22"/>
          <w:szCs w:val="22"/>
        </w:rPr>
      </w:pPr>
    </w:p>
    <w:p w14:paraId="089294D9" w14:textId="77777777" w:rsidR="0024484D" w:rsidRPr="0024484D" w:rsidRDefault="0024484D" w:rsidP="0024484D">
      <w:pPr>
        <w:pStyle w:val="ListParagraph"/>
        <w:numPr>
          <w:ilvl w:val="0"/>
          <w:numId w:val="1"/>
        </w:numPr>
        <w:rPr>
          <w:b/>
          <w:sz w:val="28"/>
          <w:szCs w:val="28"/>
        </w:rPr>
      </w:pPr>
      <w:r w:rsidRPr="0024484D">
        <w:rPr>
          <w:b/>
          <w:sz w:val="28"/>
          <w:szCs w:val="28"/>
        </w:rPr>
        <w:t>Gain financial flexibility</w:t>
      </w:r>
    </w:p>
    <w:p w14:paraId="7A6502AC" w14:textId="77777777" w:rsidR="0024484D" w:rsidRPr="0024484D" w:rsidRDefault="0024484D" w:rsidP="0024484D">
      <w:pPr>
        <w:rPr>
          <w:rFonts w:ascii="Arial" w:hAnsi="Arial" w:cs="Arial"/>
          <w:bCs/>
          <w:sz w:val="22"/>
          <w:szCs w:val="22"/>
        </w:rPr>
      </w:pPr>
    </w:p>
    <w:p w14:paraId="10248962" w14:textId="77777777" w:rsidR="0024484D" w:rsidRPr="0024484D" w:rsidRDefault="0024484D" w:rsidP="0024484D">
      <w:pPr>
        <w:ind w:left="720"/>
        <w:rPr>
          <w:rFonts w:ascii="Arial" w:hAnsi="Arial" w:cs="Arial"/>
          <w:bCs/>
          <w:sz w:val="22"/>
          <w:szCs w:val="22"/>
        </w:rPr>
      </w:pPr>
      <w:r w:rsidRPr="0024484D">
        <w:rPr>
          <w:rFonts w:ascii="Arial" w:hAnsi="Arial" w:cs="Arial"/>
          <w:bCs/>
          <w:sz w:val="22"/>
          <w:szCs w:val="22"/>
        </w:rPr>
        <w:t xml:space="preserve">Unlike an FSA, your HSA dollars roll over year after year, forever. This gives you amazing long-term flexibility. </w:t>
      </w:r>
    </w:p>
    <w:p w14:paraId="64B722AE" w14:textId="77777777" w:rsidR="0024484D" w:rsidRPr="0024484D" w:rsidRDefault="0024484D" w:rsidP="0024484D">
      <w:pPr>
        <w:rPr>
          <w:rFonts w:ascii="Arial" w:hAnsi="Arial" w:cs="Arial"/>
          <w:bCs/>
          <w:sz w:val="22"/>
          <w:szCs w:val="22"/>
        </w:rPr>
      </w:pPr>
    </w:p>
    <w:p w14:paraId="60BA623F" w14:textId="77777777" w:rsidR="0024484D" w:rsidRPr="0024484D" w:rsidRDefault="0024484D" w:rsidP="0024484D">
      <w:pPr>
        <w:pStyle w:val="ListParagraph"/>
        <w:numPr>
          <w:ilvl w:val="0"/>
          <w:numId w:val="1"/>
        </w:numPr>
        <w:rPr>
          <w:b/>
          <w:sz w:val="28"/>
          <w:szCs w:val="28"/>
        </w:rPr>
      </w:pPr>
      <w:r w:rsidRPr="0024484D">
        <w:rPr>
          <w:b/>
          <w:sz w:val="28"/>
          <w:szCs w:val="28"/>
        </w:rPr>
        <w:t xml:space="preserve"> Spend like a pro</w:t>
      </w:r>
    </w:p>
    <w:p w14:paraId="69580072" w14:textId="77777777" w:rsidR="0024484D" w:rsidRPr="0024484D" w:rsidRDefault="0024484D" w:rsidP="0024484D">
      <w:pPr>
        <w:rPr>
          <w:rFonts w:ascii="Arial" w:hAnsi="Arial" w:cs="Arial"/>
          <w:b/>
          <w:sz w:val="22"/>
          <w:szCs w:val="22"/>
        </w:rPr>
      </w:pPr>
    </w:p>
    <w:p w14:paraId="70161564" w14:textId="77777777" w:rsidR="0024484D" w:rsidRPr="0024484D" w:rsidRDefault="0024484D" w:rsidP="0024484D">
      <w:pPr>
        <w:ind w:left="720"/>
        <w:rPr>
          <w:rFonts w:ascii="Arial" w:hAnsi="Arial" w:cs="Arial"/>
          <w:bCs/>
          <w:sz w:val="22"/>
          <w:szCs w:val="22"/>
        </w:rPr>
      </w:pPr>
      <w:r w:rsidRPr="0024484D">
        <w:rPr>
          <w:rFonts w:ascii="Arial" w:hAnsi="Arial" w:cs="Arial"/>
          <w:bCs/>
          <w:sz w:val="22"/>
          <w:szCs w:val="22"/>
        </w:rPr>
        <w:t xml:space="preserve">Enjoy tax-free spending when you use HSA funds on things like medications, copays, and other qualified out-of-pocket medical expenses. </w:t>
      </w:r>
    </w:p>
    <w:p w14:paraId="1A3F8076" w14:textId="77777777" w:rsidR="0024484D" w:rsidRPr="0024484D" w:rsidRDefault="0024484D" w:rsidP="0024484D">
      <w:pPr>
        <w:rPr>
          <w:rFonts w:ascii="Arial" w:hAnsi="Arial" w:cs="Arial"/>
          <w:bCs/>
          <w:sz w:val="22"/>
          <w:szCs w:val="22"/>
        </w:rPr>
      </w:pPr>
    </w:p>
    <w:p w14:paraId="112FEE56" w14:textId="77777777" w:rsidR="0024484D" w:rsidRPr="0024484D" w:rsidRDefault="0024484D" w:rsidP="0024484D">
      <w:pPr>
        <w:ind w:left="720"/>
        <w:rPr>
          <w:rFonts w:ascii="Arial" w:hAnsi="Arial" w:cs="Arial"/>
          <w:sz w:val="22"/>
          <w:szCs w:val="22"/>
        </w:rPr>
      </w:pPr>
      <w:r w:rsidRPr="0024484D">
        <w:rPr>
          <w:rFonts w:ascii="Arial" w:hAnsi="Arial" w:cs="Arial"/>
          <w:sz w:val="22"/>
          <w:szCs w:val="22"/>
        </w:rPr>
        <w:t xml:space="preserve">See a full list of qualified expenses at </w:t>
      </w:r>
      <w:hyperlink r:id="rId5">
        <w:r w:rsidRPr="0024484D">
          <w:rPr>
            <w:rFonts w:ascii="Arial" w:hAnsi="Arial" w:cs="Arial"/>
            <w:color w:val="1155CC"/>
            <w:sz w:val="22"/>
            <w:szCs w:val="22"/>
            <w:u w:val="single"/>
          </w:rPr>
          <w:t>HealthEquity.com/QME</w:t>
        </w:r>
      </w:hyperlink>
      <w:r w:rsidRPr="0024484D">
        <w:rPr>
          <w:rFonts w:ascii="Arial" w:hAnsi="Arial" w:cs="Arial"/>
          <w:sz w:val="22"/>
          <w:szCs w:val="22"/>
          <w:vertAlign w:val="superscript"/>
        </w:rPr>
        <w:t xml:space="preserve"> 2</w:t>
      </w:r>
    </w:p>
    <w:p w14:paraId="76D706F2" w14:textId="77777777" w:rsidR="0024484D" w:rsidRPr="0024484D" w:rsidRDefault="0024484D" w:rsidP="0024484D">
      <w:pPr>
        <w:rPr>
          <w:rFonts w:ascii="Arial" w:hAnsi="Arial" w:cs="Arial"/>
          <w:bCs/>
          <w:sz w:val="22"/>
          <w:szCs w:val="22"/>
        </w:rPr>
      </w:pPr>
    </w:p>
    <w:p w14:paraId="32326A7A" w14:textId="77777777" w:rsidR="0024484D" w:rsidRPr="0024484D" w:rsidRDefault="0024484D" w:rsidP="0024484D">
      <w:pPr>
        <w:pStyle w:val="ListParagraph"/>
        <w:numPr>
          <w:ilvl w:val="0"/>
          <w:numId w:val="1"/>
        </w:numPr>
        <w:rPr>
          <w:b/>
          <w:sz w:val="28"/>
          <w:szCs w:val="28"/>
        </w:rPr>
      </w:pPr>
      <w:r w:rsidRPr="0024484D">
        <w:rPr>
          <w:b/>
          <w:sz w:val="28"/>
          <w:szCs w:val="28"/>
        </w:rPr>
        <w:t>Save for retirement</w:t>
      </w:r>
    </w:p>
    <w:p w14:paraId="532B87D6" w14:textId="77777777" w:rsidR="0024484D" w:rsidRPr="0024484D" w:rsidRDefault="0024484D" w:rsidP="0024484D">
      <w:pPr>
        <w:rPr>
          <w:rFonts w:ascii="Arial" w:hAnsi="Arial" w:cs="Arial"/>
          <w:bCs/>
          <w:sz w:val="22"/>
          <w:szCs w:val="22"/>
        </w:rPr>
      </w:pPr>
    </w:p>
    <w:p w14:paraId="4806FB74" w14:textId="77777777" w:rsidR="0024484D" w:rsidRPr="0024484D" w:rsidRDefault="0024484D" w:rsidP="0024484D">
      <w:pPr>
        <w:ind w:left="720"/>
        <w:rPr>
          <w:rFonts w:ascii="Arial" w:hAnsi="Arial" w:cs="Arial"/>
          <w:sz w:val="22"/>
          <w:szCs w:val="22"/>
        </w:rPr>
      </w:pPr>
      <w:r w:rsidRPr="0024484D">
        <w:rPr>
          <w:rFonts w:ascii="Arial" w:hAnsi="Arial" w:cs="Arial"/>
          <w:sz w:val="22"/>
          <w:szCs w:val="22"/>
        </w:rPr>
        <w:t>Investing HSA funds</w:t>
      </w:r>
      <w:r w:rsidRPr="0024484D">
        <w:rPr>
          <w:rFonts w:ascii="Arial" w:hAnsi="Arial" w:cs="Arial"/>
          <w:sz w:val="22"/>
          <w:szCs w:val="22"/>
          <w:vertAlign w:val="superscript"/>
        </w:rPr>
        <w:t>3</w:t>
      </w:r>
      <w:r w:rsidRPr="0024484D">
        <w:rPr>
          <w:rFonts w:ascii="Arial" w:hAnsi="Arial" w:cs="Arial"/>
          <w:sz w:val="22"/>
          <w:szCs w:val="22"/>
        </w:rPr>
        <w:t xml:space="preserve"> offers the potential to maximize long-term savings. Use your HSA to build the ultimate retirement nest egg. </w:t>
      </w:r>
    </w:p>
    <w:p w14:paraId="4EE95B65" w14:textId="77777777" w:rsidR="0024484D" w:rsidRPr="0024484D" w:rsidRDefault="0024484D" w:rsidP="0024484D">
      <w:pPr>
        <w:rPr>
          <w:rFonts w:ascii="Arial" w:hAnsi="Arial" w:cs="Arial"/>
          <w:bCs/>
          <w:sz w:val="22"/>
          <w:szCs w:val="22"/>
        </w:rPr>
      </w:pPr>
    </w:p>
    <w:p w14:paraId="69640BC1" w14:textId="77777777" w:rsidR="0024484D" w:rsidRPr="0024484D" w:rsidRDefault="0024484D" w:rsidP="0024484D">
      <w:pPr>
        <w:rPr>
          <w:rFonts w:ascii="Arial" w:hAnsi="Arial" w:cs="Arial"/>
          <w:bCs/>
          <w:sz w:val="22"/>
          <w:szCs w:val="22"/>
        </w:rPr>
      </w:pPr>
      <w:r w:rsidRPr="0024484D">
        <w:rPr>
          <w:rFonts w:ascii="Arial" w:hAnsi="Arial" w:cs="Arial"/>
          <w:bCs/>
          <w:sz w:val="22"/>
          <w:szCs w:val="22"/>
        </w:rPr>
        <w:t xml:space="preserve">Discover more and manage your account at </w:t>
      </w:r>
      <w:hyperlink r:id="rId6" w:history="1">
        <w:r w:rsidRPr="0024484D">
          <w:rPr>
            <w:rStyle w:val="Hyperlink"/>
            <w:rFonts w:ascii="Arial" w:hAnsi="Arial" w:cs="Arial"/>
            <w:bCs/>
            <w:color w:val="0070C0"/>
            <w:sz w:val="22"/>
            <w:szCs w:val="22"/>
          </w:rPr>
          <w:t>my.HealthEquity.com</w:t>
        </w:r>
      </w:hyperlink>
      <w:r w:rsidRPr="0024484D">
        <w:rPr>
          <w:rFonts w:ascii="Arial" w:hAnsi="Arial" w:cs="Arial"/>
          <w:bCs/>
          <w:color w:val="000000" w:themeColor="text1"/>
          <w:sz w:val="22"/>
          <w:szCs w:val="22"/>
        </w:rPr>
        <w:t xml:space="preserve">. </w:t>
      </w:r>
    </w:p>
    <w:p w14:paraId="3E23D1B1" w14:textId="77777777" w:rsidR="0024484D" w:rsidRPr="0024484D" w:rsidRDefault="0024484D" w:rsidP="0024484D">
      <w:pPr>
        <w:rPr>
          <w:rFonts w:ascii="Arial" w:hAnsi="Arial" w:cs="Arial"/>
          <w:bCs/>
          <w:sz w:val="22"/>
          <w:szCs w:val="22"/>
        </w:rPr>
      </w:pPr>
    </w:p>
    <w:p w14:paraId="7F304053" w14:textId="77777777" w:rsidR="0024484D" w:rsidRPr="0024484D" w:rsidRDefault="0024484D" w:rsidP="0024484D">
      <w:pPr>
        <w:rPr>
          <w:rFonts w:ascii="Arial" w:hAnsi="Arial" w:cs="Arial"/>
          <w:sz w:val="22"/>
          <w:szCs w:val="22"/>
        </w:rPr>
      </w:pPr>
      <w:r w:rsidRPr="0024484D">
        <w:rPr>
          <w:rFonts w:ascii="Arial" w:hAnsi="Arial" w:cs="Arial"/>
          <w:b/>
          <w:bCs/>
          <w:sz w:val="22"/>
          <w:szCs w:val="22"/>
        </w:rPr>
        <w:t>Questions?</w:t>
      </w:r>
      <w:r w:rsidRPr="0024484D">
        <w:rPr>
          <w:rFonts w:ascii="Arial" w:hAnsi="Arial" w:cs="Arial"/>
          <w:sz w:val="22"/>
          <w:szCs w:val="22"/>
        </w:rPr>
        <w:t xml:space="preserve"> We’re here for you 24/7.</w:t>
      </w:r>
    </w:p>
    <w:p w14:paraId="7920A5DD" w14:textId="77777777" w:rsidR="0024484D" w:rsidRPr="0024484D" w:rsidRDefault="0024484D" w:rsidP="0024484D">
      <w:pPr>
        <w:rPr>
          <w:rFonts w:ascii="Arial" w:hAnsi="Arial" w:cs="Arial"/>
          <w:sz w:val="22"/>
          <w:szCs w:val="22"/>
        </w:rPr>
      </w:pPr>
      <w:r w:rsidRPr="0024484D">
        <w:rPr>
          <w:rFonts w:ascii="Arial" w:hAnsi="Arial" w:cs="Arial"/>
          <w:sz w:val="22"/>
          <w:szCs w:val="22"/>
        </w:rPr>
        <w:t>866.346.5800</w:t>
      </w:r>
    </w:p>
    <w:p w14:paraId="7487F6E8" w14:textId="77777777" w:rsidR="0024484D" w:rsidRPr="0024484D" w:rsidRDefault="0024484D" w:rsidP="0024484D">
      <w:pPr>
        <w:jc w:val="both"/>
        <w:rPr>
          <w:rFonts w:ascii="Arial" w:hAnsi="Arial" w:cs="Arial"/>
          <w:b/>
          <w:sz w:val="22"/>
          <w:szCs w:val="22"/>
        </w:rPr>
      </w:pPr>
      <w:r w:rsidRPr="0024484D">
        <w:rPr>
          <w:rFonts w:ascii="Arial" w:hAnsi="Arial" w:cs="Arial"/>
          <w:b/>
          <w:sz w:val="22"/>
          <w:szCs w:val="22"/>
        </w:rPr>
        <w:t xml:space="preserve"> </w:t>
      </w:r>
    </w:p>
    <w:p w14:paraId="1F182A94" w14:textId="77777777" w:rsidR="0024484D" w:rsidRPr="0024484D" w:rsidRDefault="0024484D" w:rsidP="0024484D">
      <w:pPr>
        <w:rPr>
          <w:rFonts w:ascii="Arial" w:hAnsi="Arial" w:cs="Arial"/>
          <w:color w:val="000000"/>
          <w:sz w:val="15"/>
          <w:szCs w:val="15"/>
          <w:shd w:val="clear" w:color="auto" w:fill="FFFFFF"/>
        </w:rPr>
      </w:pPr>
      <w:r w:rsidRPr="0024484D">
        <w:rPr>
          <w:rFonts w:ascii="Arial" w:hAnsi="Arial" w:cs="Arial"/>
          <w:color w:val="000000" w:themeColor="text1"/>
          <w:sz w:val="15"/>
          <w:szCs w:val="15"/>
          <w:vertAlign w:val="superscript"/>
        </w:rPr>
        <w:t xml:space="preserve">1 </w:t>
      </w:r>
      <w:r w:rsidRPr="0024484D">
        <w:rPr>
          <w:rFonts w:ascii="Arial" w:hAnsi="Arial" w:cs="Arial"/>
          <w:color w:val="000000"/>
          <w:sz w:val="15"/>
          <w:szCs w:val="15"/>
          <w:shd w:val="clear" w:color="auto" w:fill="FFFFFF"/>
        </w:rPr>
        <w:t>HSAs are never taxed at a federal income tax level when used appropriately for qualified medical expenses. Also, most states recognize HSA funds as tax-free with very few exceptions. Please consult a tax advisor regarding your state’s specific rules.</w:t>
      </w:r>
    </w:p>
    <w:p w14:paraId="7D2632D3" w14:textId="77777777" w:rsidR="0024484D" w:rsidRPr="0024484D" w:rsidRDefault="0024484D" w:rsidP="0024484D">
      <w:pPr>
        <w:rPr>
          <w:rFonts w:ascii="Arial" w:hAnsi="Arial" w:cs="Arial"/>
          <w:color w:val="000000"/>
          <w:sz w:val="15"/>
          <w:szCs w:val="15"/>
          <w:shd w:val="clear" w:color="auto" w:fill="FFFFFF"/>
        </w:rPr>
      </w:pPr>
    </w:p>
    <w:p w14:paraId="3D78B84C" w14:textId="77777777" w:rsidR="0024484D" w:rsidRPr="0024484D" w:rsidRDefault="0024484D" w:rsidP="0024484D">
      <w:pPr>
        <w:rPr>
          <w:rFonts w:ascii="Arial" w:hAnsi="Arial" w:cs="Arial"/>
          <w:sz w:val="15"/>
          <w:szCs w:val="15"/>
        </w:rPr>
      </w:pPr>
      <w:r w:rsidRPr="0024484D">
        <w:rPr>
          <w:rFonts w:ascii="Arial" w:hAnsi="Arial" w:cs="Arial"/>
          <w:color w:val="000000"/>
          <w:sz w:val="15"/>
          <w:szCs w:val="15"/>
          <w:shd w:val="clear" w:color="auto" w:fill="FFFFFF"/>
          <w:vertAlign w:val="superscript"/>
        </w:rPr>
        <w:t>2</w:t>
      </w:r>
      <w:r w:rsidRPr="0024484D">
        <w:rPr>
          <w:rFonts w:ascii="Arial" w:hAnsi="Arial" w:cs="Arial"/>
          <w:color w:val="000000"/>
          <w:sz w:val="15"/>
          <w:szCs w:val="15"/>
          <w:shd w:val="clear" w:color="auto" w:fill="FFFFFF"/>
        </w:rPr>
        <w:t xml:space="preserve"> It is the members’ responsibility to ensure eligibility requirements as well as if they are eligible for the expenses submitted.</w:t>
      </w:r>
    </w:p>
    <w:p w14:paraId="5B4307F6" w14:textId="77777777" w:rsidR="0024484D" w:rsidRPr="0024484D" w:rsidRDefault="0024484D" w:rsidP="0024484D">
      <w:pPr>
        <w:rPr>
          <w:rFonts w:ascii="Arial" w:hAnsi="Arial" w:cs="Arial"/>
          <w:sz w:val="15"/>
          <w:szCs w:val="15"/>
        </w:rPr>
      </w:pPr>
    </w:p>
    <w:p w14:paraId="359545BB" w14:textId="77777777" w:rsidR="0024484D" w:rsidRPr="0024484D" w:rsidRDefault="0024484D" w:rsidP="0024484D">
      <w:pPr>
        <w:rPr>
          <w:rFonts w:ascii="Arial" w:hAnsi="Arial" w:cs="Arial"/>
          <w:color w:val="000000"/>
          <w:sz w:val="15"/>
          <w:szCs w:val="15"/>
          <w:shd w:val="clear" w:color="auto" w:fill="FFFFFF"/>
        </w:rPr>
      </w:pPr>
      <w:r w:rsidRPr="0024484D">
        <w:rPr>
          <w:rFonts w:ascii="Arial" w:hAnsi="Arial" w:cs="Arial"/>
          <w:color w:val="000000" w:themeColor="text1"/>
          <w:sz w:val="15"/>
          <w:szCs w:val="15"/>
          <w:vertAlign w:val="superscript"/>
        </w:rPr>
        <w:t xml:space="preserve">3 </w:t>
      </w:r>
      <w:r w:rsidRPr="0024484D">
        <w:rPr>
          <w:rFonts w:ascii="Arial" w:hAnsi="Arial" w:cs="Arial"/>
          <w:color w:val="000000"/>
          <w:sz w:val="15"/>
          <w:szCs w:val="15"/>
          <w:shd w:val="clear" w:color="auto" w:fill="FFFFFF"/>
        </w:rPr>
        <w:t>Investments are subject to risk, including the possible loss of the principal invested, and are not FDIC or NCUA insured, nor guaranteed by HealthEquity, Inc. Investing through the HealthEquity investment platform is subject to the terms and conditions of the Health Savings Account Custodial Agreement and any applicable investment supplement. Investing may not be suitable for everyone and before making any investments, review the fund’s prospectus.</w:t>
      </w:r>
    </w:p>
    <w:p w14:paraId="3AA0D6D9" w14:textId="77777777" w:rsidR="0024484D" w:rsidRPr="0024484D" w:rsidRDefault="0024484D" w:rsidP="0024484D">
      <w:pPr>
        <w:rPr>
          <w:rFonts w:ascii="Arial" w:hAnsi="Arial" w:cs="Arial"/>
          <w:color w:val="000000" w:themeColor="text1"/>
          <w:sz w:val="15"/>
          <w:szCs w:val="15"/>
        </w:rPr>
      </w:pPr>
    </w:p>
    <w:p w14:paraId="475F1A59" w14:textId="77777777" w:rsidR="0024484D" w:rsidRPr="0024484D" w:rsidRDefault="0024484D" w:rsidP="0024484D">
      <w:pPr>
        <w:rPr>
          <w:rFonts w:ascii="Arial" w:hAnsi="Arial" w:cs="Arial"/>
          <w:sz w:val="15"/>
          <w:szCs w:val="15"/>
        </w:rPr>
      </w:pPr>
      <w:r w:rsidRPr="0024484D">
        <w:rPr>
          <w:rFonts w:ascii="Arial" w:hAnsi="Arial" w:cs="Arial"/>
          <w:color w:val="000000"/>
          <w:sz w:val="15"/>
          <w:szCs w:val="15"/>
          <w:shd w:val="clear" w:color="auto" w:fill="FFFFFF"/>
        </w:rPr>
        <w:t>HealthEquity does not provide legal, tax, or financial advice. Always consult a professional when making life-changing decisions.</w:t>
      </w:r>
    </w:p>
    <w:p w14:paraId="22063589" w14:textId="77777777" w:rsidR="0044215C" w:rsidRPr="00B8582C" w:rsidRDefault="0024484D" w:rsidP="0024484D">
      <w:pPr>
        <w:rPr>
          <w:rFonts w:ascii="Arial" w:hAnsi="Arial" w:cs="Arial"/>
          <w:sz w:val="22"/>
          <w:szCs w:val="22"/>
        </w:rPr>
      </w:pPr>
    </w:p>
    <w:sectPr w:rsidR="0044215C" w:rsidRPr="00B8582C" w:rsidSect="008868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3E57F0"/>
    <w:multiLevelType w:val="multilevel"/>
    <w:tmpl w:val="A21E0A10"/>
    <w:lvl w:ilvl="0">
      <w:start w:val="1"/>
      <w:numFmt w:val="decimal"/>
      <w:lvlText w:val="%1."/>
      <w:lvlJc w:val="left"/>
      <w:pPr>
        <w:ind w:left="720" w:hanging="360"/>
      </w:pPr>
      <w:rPr>
        <w:u w:val="none"/>
        <w:vertAlign w:val="baseli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CCC"/>
    <w:rsid w:val="0024484D"/>
    <w:rsid w:val="002F2EA7"/>
    <w:rsid w:val="006B0B4A"/>
    <w:rsid w:val="0088688A"/>
    <w:rsid w:val="00B54B48"/>
    <w:rsid w:val="00B8582C"/>
    <w:rsid w:val="00BA6CCC"/>
    <w:rsid w:val="00E95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EDABE6"/>
  <w15:chartTrackingRefBased/>
  <w15:docId w15:val="{0DBFEF35-0005-F24A-98D1-665509195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82C"/>
    <w:rPr>
      <w:rFonts w:ascii="Times New Roman" w:eastAsia="Times New Roman" w:hAnsi="Times New Roman" w:cs="Times New Roman"/>
    </w:rPr>
  </w:style>
  <w:style w:type="paragraph" w:styleId="Heading3">
    <w:name w:val="heading 3"/>
    <w:basedOn w:val="Normal"/>
    <w:next w:val="Normal"/>
    <w:link w:val="Heading3Char"/>
    <w:rsid w:val="00B8582C"/>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link w:val="Heading4Char"/>
    <w:uiPriority w:val="9"/>
    <w:unhideWhenUsed/>
    <w:qFormat/>
    <w:rsid w:val="00B8582C"/>
    <w:pPr>
      <w:keepNext/>
      <w:keepLines/>
      <w:spacing w:before="280" w:after="80" w:line="276" w:lineRule="auto"/>
      <w:outlineLvl w:val="3"/>
    </w:pPr>
    <w:rPr>
      <w:rFonts w:ascii="Arial" w:eastAsia="Arial" w:hAnsi="Arial" w:cs="Arial"/>
      <w:b/>
      <w:color w:val="FF0000"/>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8582C"/>
    <w:rPr>
      <w:rFonts w:ascii="Arial" w:eastAsia="Arial" w:hAnsi="Arial" w:cs="Arial"/>
      <w:b/>
      <w:color w:val="FF0000"/>
      <w:lang w:val="en"/>
    </w:rPr>
  </w:style>
  <w:style w:type="character" w:customStyle="1" w:styleId="Heading3Char">
    <w:name w:val="Heading 3 Char"/>
    <w:basedOn w:val="DefaultParagraphFont"/>
    <w:link w:val="Heading3"/>
    <w:rsid w:val="00B8582C"/>
    <w:rPr>
      <w:rFonts w:ascii="Arial" w:eastAsia="Arial" w:hAnsi="Arial" w:cs="Arial"/>
      <w:color w:val="434343"/>
      <w:sz w:val="28"/>
      <w:szCs w:val="28"/>
      <w:lang w:val="en"/>
    </w:rPr>
  </w:style>
  <w:style w:type="character" w:styleId="Hyperlink">
    <w:name w:val="Hyperlink"/>
    <w:basedOn w:val="DefaultParagraphFont"/>
    <w:uiPriority w:val="99"/>
    <w:unhideWhenUsed/>
    <w:rsid w:val="00B54B48"/>
    <w:rPr>
      <w:color w:val="0563C1" w:themeColor="hyperlink"/>
      <w:u w:val="single"/>
    </w:rPr>
  </w:style>
  <w:style w:type="paragraph" w:styleId="ListParagraph">
    <w:name w:val="List Paragraph"/>
    <w:basedOn w:val="Normal"/>
    <w:uiPriority w:val="34"/>
    <w:qFormat/>
    <w:rsid w:val="0024484D"/>
    <w:pPr>
      <w:spacing w:line="276" w:lineRule="auto"/>
      <w:ind w:left="720"/>
      <w:contextualSpacing/>
    </w:pPr>
    <w:rPr>
      <w:rFonts w:ascii="Arial" w:eastAsia="Arial" w:hAnsi="Arial" w:cs="Arial"/>
      <w:sz w:val="22"/>
      <w:szCs w:val="2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y.healthequity.com/" TargetMode="External"/><Relationship Id="rId5" Type="http://schemas.openxmlformats.org/officeDocument/2006/relationships/hyperlink" Target="https://learn.healthequity.com/q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304</Words>
  <Characters>1718</Characters>
  <Application>Microsoft Office Word</Application>
  <DocSecurity>0</DocSecurity>
  <Lines>50</Lines>
  <Paragraphs>32</Paragraphs>
  <ScaleCrop>false</ScaleCrop>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Revill</dc:creator>
  <cp:keywords/>
  <dc:description/>
  <cp:lastModifiedBy>Tyler Revill</cp:lastModifiedBy>
  <cp:revision>3</cp:revision>
  <dcterms:created xsi:type="dcterms:W3CDTF">2020-12-10T17:11:00Z</dcterms:created>
  <dcterms:modified xsi:type="dcterms:W3CDTF">2020-12-10T17:12:00Z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b23c674-de8a-426d-bc8b-74ad6594a910_Enabled">
    <vt:lpwstr>true</vt:lpwstr>
  </property>
  <property fmtid="{D5CDD505-2E9C-101B-9397-08002B2CF9AE}" pid="3" name="MSIP_Label_3b23c674-de8a-426d-bc8b-74ad6594a910_SetDate">
    <vt:lpwstr>2020-12-10T17:07:29Z</vt:lpwstr>
  </property>
  <property fmtid="{D5CDD505-2E9C-101B-9397-08002B2CF9AE}" pid="4" name="MSIP_Label_3b23c674-de8a-426d-bc8b-74ad6594a910_Method">
    <vt:lpwstr>Standard</vt:lpwstr>
  </property>
  <property fmtid="{D5CDD505-2E9C-101B-9397-08002B2CF9AE}" pid="5" name="MSIP_Label_3b23c674-de8a-426d-bc8b-74ad6594a910_Name">
    <vt:lpwstr>HQY Proprietary</vt:lpwstr>
  </property>
  <property fmtid="{D5CDD505-2E9C-101B-9397-08002B2CF9AE}" pid="6" name="MSIP_Label_3b23c674-de8a-426d-bc8b-74ad6594a910_SiteId">
    <vt:lpwstr>c5d0ad88-8f93-43b8-9b7c-c8a3bb8e410a</vt:lpwstr>
  </property>
  <property fmtid="{D5CDD505-2E9C-101B-9397-08002B2CF9AE}" pid="7" name="MSIP_Label_3b23c674-de8a-426d-bc8b-74ad6594a910_ActionId">
    <vt:lpwstr>42446013-101f-44d3-96b5-baf8d79f46b2</vt:lpwstr>
  </property>
  <property fmtid="{D5CDD505-2E9C-101B-9397-08002B2CF9AE}" pid="8" name="MSIP_Label_3b23c674-de8a-426d-bc8b-74ad6594a910_ContentBits">
    <vt:lpwstr>0</vt:lpwstr>
  </property>
</Properties>
</file>